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7D146C2C" w:rsidR="00F20995" w:rsidRPr="006207FB" w:rsidRDefault="00000BFD"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Číslo smlouvy kupujícího:</w:t>
      </w:r>
      <w:r w:rsidR="00F20995"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B876FCC" w:rsidR="00F20995" w:rsidRDefault="00000BFD" w:rsidP="0068187B">
      <w:pPr>
        <w:widowControl w:val="0"/>
        <w:overflowPunct w:val="0"/>
        <w:autoSpaceDE w:val="0"/>
        <w:autoSpaceDN w:val="0"/>
        <w:adjustRightInd w:val="0"/>
        <w:spacing w:after="0" w:line="276" w:lineRule="auto"/>
        <w:jc w:val="both"/>
        <w:textAlignment w:val="baseline"/>
        <w:rPr>
          <w:rFonts w:ascii="Verdana" w:hAnsi="Verdana"/>
        </w:rPr>
      </w:pPr>
      <w:r>
        <w:rPr>
          <w:rFonts w:eastAsia="Times New Roman" w:cs="Times New Roman"/>
          <w:b/>
          <w:highlight w:val="yellow"/>
          <w:lang w:eastAsia="cs-CZ"/>
        </w:rPr>
        <w:t>Číslo smlouvy prodávajícího:</w:t>
      </w:r>
      <w:r w:rsidR="00F20995"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5067A3FF" w:rsidR="00EE2021" w:rsidRDefault="00EE2021" w:rsidP="00000BFD">
      <w:pPr>
        <w:pStyle w:val="Podnadpissmlouvy"/>
        <w:tabs>
          <w:tab w:val="left" w:pos="2552"/>
        </w:tabs>
      </w:pPr>
      <w:r w:rsidRPr="00000BFD">
        <w:t xml:space="preserve">ČÍSLO </w:t>
      </w:r>
      <w:r w:rsidR="00000BFD" w:rsidRPr="00000BFD">
        <w:t>SUBISPROFOND:</w:t>
      </w:r>
      <w:r w:rsidR="00000BFD">
        <w:tab/>
      </w:r>
      <w:r w:rsidR="00000BFD" w:rsidRPr="00000BFD">
        <w:t>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000BFD">
      <w:pPr>
        <w:widowControl w:val="0"/>
        <w:overflowPunct w:val="0"/>
        <w:autoSpaceDE w:val="0"/>
        <w:autoSpaceDN w:val="0"/>
        <w:adjustRightInd w:val="0"/>
        <w:spacing w:after="0" w:line="276"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000BFD">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000BFD">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000BFD">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000BFD">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000BFD">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000BFD">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000BFD">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3A30F32" w:rsidR="000D0B07" w:rsidRDefault="000D0B07" w:rsidP="00000BFD">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000BFD">
      <w:pPr>
        <w:widowControl w:val="0"/>
        <w:overflowPunct w:val="0"/>
        <w:autoSpaceDE w:val="0"/>
        <w:autoSpaceDN w:val="0"/>
        <w:adjustRightInd w:val="0"/>
        <w:spacing w:after="0" w:line="276" w:lineRule="auto"/>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000BFD">
      <w:pPr>
        <w:widowControl w:val="0"/>
        <w:overflowPunct w:val="0"/>
        <w:autoSpaceDE w:val="0"/>
        <w:autoSpaceDN w:val="0"/>
        <w:adjustRightInd w:val="0"/>
        <w:spacing w:after="0" w:line="276" w:lineRule="auto"/>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000BFD">
      <w:pPr>
        <w:widowControl w:val="0"/>
        <w:overflowPunct w:val="0"/>
        <w:autoSpaceDE w:val="0"/>
        <w:autoSpaceDN w:val="0"/>
        <w:adjustRightInd w:val="0"/>
        <w:spacing w:after="0" w:line="276" w:lineRule="auto"/>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000BFD">
      <w:pPr>
        <w:widowControl w:val="0"/>
        <w:overflowPunct w:val="0"/>
        <w:autoSpaceDE w:val="0"/>
        <w:autoSpaceDN w:val="0"/>
        <w:adjustRightInd w:val="0"/>
        <w:spacing w:after="0" w:line="276" w:lineRule="auto"/>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 DIČ</w:t>
      </w:r>
      <w:proofErr w:type="gramEnd"/>
      <w:r w:rsidR="00D85C5B" w:rsidRPr="006207FB">
        <w:rPr>
          <w:rFonts w:eastAsia="Times New Roman" w:cs="Times New Roman"/>
          <w:highlight w:val="yellow"/>
          <w:lang w:eastAsia="cs-CZ"/>
        </w:rPr>
        <w:t xml:space="preserve"> …………………</w:t>
      </w:r>
    </w:p>
    <w:p w14:paraId="39F2A5A3" w14:textId="77777777" w:rsidR="00F20995" w:rsidRPr="006207FB" w:rsidRDefault="00F20995" w:rsidP="00000BFD">
      <w:pPr>
        <w:widowControl w:val="0"/>
        <w:overflowPunct w:val="0"/>
        <w:autoSpaceDE w:val="0"/>
        <w:autoSpaceDN w:val="0"/>
        <w:adjustRightInd w:val="0"/>
        <w:spacing w:after="0" w:line="276" w:lineRule="auto"/>
        <w:ind w:left="708" w:firstLine="708"/>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000BFD">
      <w:pPr>
        <w:widowControl w:val="0"/>
        <w:overflowPunct w:val="0"/>
        <w:autoSpaceDE w:val="0"/>
        <w:autoSpaceDN w:val="0"/>
        <w:adjustRightInd w:val="0"/>
        <w:spacing w:after="0" w:line="276" w:lineRule="auto"/>
        <w:ind w:left="708" w:firstLine="708"/>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000BFD">
      <w:pPr>
        <w:widowControl w:val="0"/>
        <w:overflowPunct w:val="0"/>
        <w:autoSpaceDE w:val="0"/>
        <w:autoSpaceDN w:val="0"/>
        <w:adjustRightInd w:val="0"/>
        <w:spacing w:after="0" w:line="276" w:lineRule="auto"/>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65A7C3D3"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0105914" w14:textId="401C84F5" w:rsidR="00935BBA" w:rsidRDefault="00935BBA"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1258080" w14:textId="77777777" w:rsidR="00935BBA" w:rsidRPr="000C5DA0" w:rsidRDefault="00935BBA"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7C148F63" w:rsidR="00D85C5B" w:rsidRPr="000C5DA0" w:rsidRDefault="00717E19" w:rsidP="0068187B">
      <w:pPr>
        <w:widowControl w:val="0"/>
        <w:spacing w:line="276" w:lineRule="auto"/>
        <w:jc w:val="both"/>
        <w:rPr>
          <w:lang w:eastAsia="cs-CZ"/>
        </w:rPr>
      </w:pPr>
      <w:r w:rsidRPr="004E1498">
        <w:rPr>
          <w:rFonts w:eastAsia="Times New Roman" w:cs="Times New Roman"/>
          <w:lang w:eastAsia="cs-CZ"/>
        </w:rPr>
        <w:lastRenderedPageBreak/>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000BFD" w:rsidRPr="00000BFD">
        <w:rPr>
          <w:rFonts w:eastAsia="Times New Roman" w:cs="Times New Roman"/>
          <w:b/>
          <w:lang w:eastAsia="cs-CZ"/>
        </w:rPr>
        <w:t>Nákup přívěsných vozíků pro OŘ PHA 2024</w:t>
      </w:r>
      <w:r w:rsidRPr="00000BFD">
        <w:rPr>
          <w:rFonts w:eastAsia="Times New Roman" w:cs="Times New Roman"/>
          <w:b/>
          <w:lang w:eastAsia="cs-CZ"/>
        </w:rPr>
        <w:t>“</w:t>
      </w:r>
      <w:r w:rsidRPr="006062F9">
        <w:rPr>
          <w:rFonts w:eastAsia="Times New Roman" w:cs="Times New Roman"/>
          <w:lang w:eastAsia="cs-CZ"/>
        </w:rPr>
        <w:t xml:space="preserve">, č. j. veřejné zakázky: </w:t>
      </w:r>
      <w:r w:rsidR="00000BFD" w:rsidRPr="00000BFD">
        <w:rPr>
          <w:rStyle w:val="FontStyle38"/>
          <w:rFonts w:asciiTheme="minorHAnsi" w:hAnsiTheme="minorHAnsi"/>
          <w:sz w:val="18"/>
          <w:szCs w:val="18"/>
        </w:rPr>
        <w:t>15743/2024-SŽ-OŘ PHA-OVZ</w:t>
      </w:r>
      <w:r w:rsidR="00000BFD" w:rsidRPr="00000BFD">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t>Předmět koupě (přesná specifikace)</w:t>
      </w:r>
    </w:p>
    <w:p w14:paraId="5B7D87D1" w14:textId="77777777" w:rsidR="00717E19" w:rsidRPr="00717E19" w:rsidRDefault="00717E19" w:rsidP="0068187B">
      <w:pPr>
        <w:spacing w:after="0"/>
        <w:jc w:val="both"/>
      </w:pPr>
    </w:p>
    <w:p w14:paraId="1CC662D5" w14:textId="5CE496A2" w:rsidR="00D85C5B" w:rsidRPr="00000BFD"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000BFD">
        <w:rPr>
          <w:rFonts w:eastAsia="Times New Roman" w:cs="Times New Roman"/>
          <w:lang w:eastAsia="cs-CZ"/>
        </w:rPr>
        <w:t>Předmětem koupě j</w:t>
      </w:r>
      <w:r w:rsidR="00000BFD">
        <w:rPr>
          <w:rFonts w:eastAsia="Times New Roman" w:cs="Times New Roman"/>
          <w:lang w:eastAsia="cs-CZ"/>
        </w:rPr>
        <w:t>sou</w:t>
      </w:r>
      <w:r w:rsidRPr="00000BFD">
        <w:rPr>
          <w:rFonts w:eastAsia="Times New Roman" w:cs="Times New Roman"/>
          <w:lang w:eastAsia="cs-CZ"/>
        </w:rPr>
        <w:t xml:space="preserve"> </w:t>
      </w:r>
      <w:r w:rsidR="00000BFD" w:rsidRPr="00000BFD">
        <w:rPr>
          <w:rFonts w:eastAsia="Times New Roman" w:cs="Times New Roman"/>
          <w:lang w:eastAsia="cs-CZ"/>
        </w:rPr>
        <w:t>2 ks vozíků pro přepravu svahové sekačky a 1 ks sklopného přívěsu za osobní automobil</w:t>
      </w:r>
      <w:r w:rsidRPr="00000BFD">
        <w:rPr>
          <w:rFonts w:eastAsia="Times New Roman" w:cs="Times New Roman"/>
          <w:lang w:eastAsia="cs-CZ"/>
        </w:rPr>
        <w:t>.</w:t>
      </w:r>
    </w:p>
    <w:p w14:paraId="01CA54BB" w14:textId="412658F9" w:rsidR="00D85C5B" w:rsidRPr="00000BFD"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000BFD">
        <w:rPr>
          <w:rFonts w:eastAsia="Times New Roman" w:cs="Times New Roman"/>
          <w:lang w:eastAsia="cs-CZ"/>
        </w:rPr>
        <w:t>Přesná specifikace je uvedena v p</w:t>
      </w:r>
      <w:r w:rsidR="00000BFD" w:rsidRPr="00000BFD">
        <w:rPr>
          <w:rFonts w:eastAsia="Times New Roman" w:cs="Times New Roman"/>
          <w:lang w:eastAsia="cs-CZ"/>
        </w:rPr>
        <w:t xml:space="preserve">říloze č. 3 </w:t>
      </w:r>
      <w:proofErr w:type="gramStart"/>
      <w:r w:rsidRPr="00000BFD">
        <w:rPr>
          <w:rFonts w:eastAsia="Times New Roman" w:cs="Times New Roman"/>
          <w:lang w:eastAsia="cs-CZ"/>
        </w:rPr>
        <w:t>této</w:t>
      </w:r>
      <w:proofErr w:type="gramEnd"/>
      <w:r w:rsidRPr="00000BFD">
        <w:rPr>
          <w:rFonts w:eastAsia="Times New Roman" w:cs="Times New Roman"/>
          <w:lang w:eastAsia="cs-CZ"/>
        </w:rPr>
        <w:t xml:space="preserve"> </w:t>
      </w:r>
      <w:r w:rsidR="008B1447" w:rsidRPr="00000BFD">
        <w:rPr>
          <w:rFonts w:eastAsia="Times New Roman" w:cs="Times New Roman"/>
          <w:lang w:eastAsia="cs-CZ"/>
        </w:rPr>
        <w:t>Sml</w:t>
      </w:r>
      <w:r w:rsidRPr="00000BFD">
        <w:rPr>
          <w:rFonts w:eastAsia="Times New Roman" w:cs="Times New Roman"/>
          <w:lang w:eastAsia="cs-CZ"/>
        </w:rPr>
        <w:t>ouvy.</w:t>
      </w:r>
    </w:p>
    <w:p w14:paraId="4A214B1F" w14:textId="52765420" w:rsidR="00D85C5B" w:rsidRPr="00000BFD"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000BFD">
        <w:rPr>
          <w:rFonts w:eastAsia="Times New Roman" w:cs="Times New Roman"/>
          <w:lang w:eastAsia="cs-CZ"/>
        </w:rPr>
        <w:t>Předmět koupě musí splňovat podmínky stanovené právními předpisy, normami Č</w:t>
      </w:r>
      <w:r w:rsidR="00000BFD" w:rsidRPr="00000BFD">
        <w:rPr>
          <w:rFonts w:eastAsia="Times New Roman" w:cs="Times New Roman"/>
          <w:lang w:eastAsia="cs-CZ"/>
        </w:rPr>
        <w:t>SN, technickými normami,</w:t>
      </w:r>
      <w:r w:rsidRPr="00000BFD">
        <w:rPr>
          <w:rFonts w:eastAsia="Times New Roman" w:cs="Times New Roman"/>
          <w:lang w:eastAsia="cs-CZ"/>
        </w:rPr>
        <w:t xml:space="preserve"> uvedenými v příloze č</w:t>
      </w:r>
      <w:r w:rsidR="00000BFD" w:rsidRPr="00000BFD">
        <w:rPr>
          <w:rFonts w:eastAsia="Times New Roman" w:cs="Times New Roman"/>
          <w:lang w:eastAsia="cs-CZ"/>
        </w:rPr>
        <w:t xml:space="preserve">. 3 </w:t>
      </w:r>
      <w:proofErr w:type="gramStart"/>
      <w:r w:rsidRPr="00000BFD">
        <w:rPr>
          <w:rFonts w:eastAsia="Times New Roman" w:cs="Times New Roman"/>
          <w:lang w:eastAsia="cs-CZ"/>
        </w:rPr>
        <w:t>této</w:t>
      </w:r>
      <w:proofErr w:type="gramEnd"/>
      <w:r w:rsidRPr="00000BFD">
        <w:rPr>
          <w:rFonts w:eastAsia="Times New Roman" w:cs="Times New Roman"/>
          <w:lang w:eastAsia="cs-CZ"/>
        </w:rPr>
        <w:t xml:space="preserve"> </w:t>
      </w:r>
      <w:r w:rsidR="008B1447" w:rsidRPr="00000BFD">
        <w:rPr>
          <w:rFonts w:eastAsia="Times New Roman" w:cs="Times New Roman"/>
          <w:lang w:eastAsia="cs-CZ"/>
        </w:rPr>
        <w:t>Sml</w:t>
      </w:r>
      <w:r w:rsidRPr="00000BFD">
        <w:rPr>
          <w:rFonts w:eastAsia="Times New Roman" w:cs="Times New Roman"/>
          <w:lang w:eastAsia="cs-CZ"/>
        </w:rPr>
        <w:t>ouvy.</w:t>
      </w:r>
    </w:p>
    <w:p w14:paraId="46F1124F" w14:textId="2C1185C9" w:rsidR="00D85C5B" w:rsidRPr="00000BF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00BFD">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AEF245F" w:rsidR="008B2F5B" w:rsidRPr="008B2F5B"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t xml:space="preserve">Cena </w:t>
      </w:r>
      <w:r w:rsidRPr="00BB3E1D">
        <w:rPr>
          <w:rFonts w:eastAsia="Times New Roman" w:cs="Times New Roman"/>
          <w:lang w:eastAsia="cs-CZ"/>
        </w:rPr>
        <w:t>předmětu</w:t>
      </w:r>
      <w:r>
        <w:t xml:space="preserve"> koupě je uvedena v </w:t>
      </w:r>
      <w:r w:rsidRPr="00000BFD">
        <w:t xml:space="preserve">příloze č. </w:t>
      </w:r>
      <w:r w:rsidR="00000BFD" w:rsidRPr="00000BFD">
        <w:rPr>
          <w:rFonts w:eastAsia="Times New Roman" w:cs="Times New Roman"/>
          <w:lang w:eastAsia="cs-CZ"/>
        </w:rPr>
        <w:t>2</w:t>
      </w:r>
      <w:r w:rsidRPr="00000BFD">
        <w:t xml:space="preserve"> </w:t>
      </w:r>
      <w:proofErr w:type="gramStart"/>
      <w:r w:rsidRPr="00000BFD">
        <w:t>této</w:t>
      </w:r>
      <w:proofErr w:type="gramEnd"/>
      <w:r>
        <w:t xml:space="preserve"> Smlouvy.</w:t>
      </w:r>
    </w:p>
    <w:p w14:paraId="7725C329" w14:textId="5A2533DB" w:rsidR="00782A52" w:rsidRPr="00000BF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00BFD">
        <w:rPr>
          <w:rFonts w:eastAsia="Times New Roman" w:cs="Times New Roman"/>
          <w:lang w:eastAsia="cs-CZ"/>
        </w:rPr>
        <w:t xml:space="preserve">Kupní cena bude uhrazena na základě předávacího protokolu podepsaného oběma </w:t>
      </w:r>
      <w:r w:rsidR="008B1447" w:rsidRPr="00000BFD">
        <w:rPr>
          <w:rFonts w:eastAsia="Times New Roman" w:cs="Times New Roman"/>
          <w:lang w:eastAsia="cs-CZ"/>
        </w:rPr>
        <w:t>Sml</w:t>
      </w:r>
      <w:r w:rsidRPr="00000BFD">
        <w:rPr>
          <w:rFonts w:eastAsia="Times New Roman" w:cs="Times New Roman"/>
          <w:lang w:eastAsia="cs-CZ"/>
        </w:rPr>
        <w:t>uvními stranami</w:t>
      </w:r>
      <w:r w:rsidR="00000BFD" w:rsidRPr="00000BFD">
        <w:rPr>
          <w:rFonts w:eastAsia="Times New Roman" w:cs="Times New Roman"/>
          <w:lang w:eastAsia="cs-CZ"/>
        </w:rPr>
        <w:t xml:space="preserve"> nebo </w:t>
      </w:r>
      <w:r w:rsidR="002B20CA" w:rsidRPr="00000BFD">
        <w:rPr>
          <w:rFonts w:eastAsia="Times New Roman" w:cs="Times New Roman"/>
          <w:lang w:eastAsia="cs-CZ"/>
        </w:rPr>
        <w:t>dodacího listu.</w:t>
      </w:r>
    </w:p>
    <w:p w14:paraId="70884A3F" w14:textId="4686FC9A" w:rsidR="00D85C5B" w:rsidRDefault="00D85C5B" w:rsidP="00C76946">
      <w:pPr>
        <w:pStyle w:val="Nadpis1"/>
        <w:numPr>
          <w:ilvl w:val="0"/>
          <w:numId w:val="23"/>
        </w:numPr>
        <w:spacing w:after="120" w:line="276" w:lineRule="auto"/>
        <w:jc w:val="both"/>
        <w:rPr>
          <w:rFonts w:eastAsia="Times New Roman"/>
          <w:lang w:eastAsia="cs-CZ"/>
        </w:rPr>
      </w:pPr>
      <w:r w:rsidRPr="000C5DA0">
        <w:rPr>
          <w:rFonts w:eastAsia="Times New Roman"/>
          <w:lang w:eastAsia="cs-CZ"/>
        </w:rPr>
        <w:t>Místo a doba dodání</w:t>
      </w:r>
    </w:p>
    <w:p w14:paraId="37954E98" w14:textId="314C4779" w:rsidR="00D85C5B" w:rsidRPr="00C76946"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C76946">
        <w:rPr>
          <w:rFonts w:eastAsia="Times New Roman" w:cs="Times New Roman"/>
          <w:lang w:eastAsia="cs-CZ"/>
        </w:rPr>
        <w:t xml:space="preserve">Místo </w:t>
      </w:r>
      <w:r w:rsidRPr="00BB3E1D">
        <w:rPr>
          <w:rFonts w:eastAsia="Times New Roman" w:cs="Times New Roman"/>
          <w:lang w:eastAsia="cs-CZ"/>
        </w:rPr>
        <w:t>dodání</w:t>
      </w:r>
      <w:r w:rsidRPr="00C76946">
        <w:rPr>
          <w:rFonts w:eastAsia="Times New Roman" w:cs="Times New Roman"/>
          <w:lang w:eastAsia="cs-CZ"/>
        </w:rPr>
        <w:t xml:space="preserve"> je </w:t>
      </w:r>
      <w:r w:rsidR="00C76946" w:rsidRPr="00C76946">
        <w:rPr>
          <w:rFonts w:eastAsia="Times New Roman" w:cs="Times New Roman"/>
          <w:lang w:eastAsia="cs-CZ"/>
        </w:rPr>
        <w:t>areál Správy Železnic, státní organizace</w:t>
      </w:r>
      <w:r w:rsidR="00C76946">
        <w:rPr>
          <w:rFonts w:eastAsia="Times New Roman" w:cs="Times New Roman"/>
          <w:lang w:eastAsia="cs-CZ"/>
        </w:rPr>
        <w:t>,</w:t>
      </w:r>
      <w:r w:rsidR="00C76946" w:rsidRPr="00C76946">
        <w:rPr>
          <w:rFonts w:eastAsia="Times New Roman" w:cs="Times New Roman"/>
          <w:lang w:eastAsia="cs-CZ"/>
        </w:rPr>
        <w:t xml:space="preserve"> Beroun, K Nádraží 139</w:t>
      </w:r>
      <w:r w:rsidR="00C76946">
        <w:rPr>
          <w:rFonts w:eastAsia="Times New Roman" w:cs="Times New Roman"/>
          <w:lang w:eastAsia="cs-CZ"/>
        </w:rPr>
        <w:t>.</w:t>
      </w:r>
    </w:p>
    <w:p w14:paraId="53B1A76F" w14:textId="1E732475" w:rsidR="00BE2F45" w:rsidRPr="00C76946" w:rsidRDefault="00D85C5B" w:rsidP="00C76946">
      <w:pPr>
        <w:pStyle w:val="Odstavecseseznamem"/>
        <w:widowControl w:val="0"/>
        <w:numPr>
          <w:ilvl w:val="1"/>
          <w:numId w:val="23"/>
        </w:numPr>
        <w:spacing w:after="0" w:line="276" w:lineRule="auto"/>
        <w:ind w:left="708" w:hanging="714"/>
        <w:contextualSpacing w:val="0"/>
        <w:jc w:val="both"/>
        <w:rPr>
          <w:rFonts w:eastAsia="Times New Roman" w:cs="Times New Roman"/>
          <w:lang w:eastAsia="cs-CZ"/>
        </w:rPr>
      </w:pPr>
      <w:r w:rsidRPr="00C76946">
        <w:rPr>
          <w:rFonts w:eastAsia="Times New Roman" w:cs="Times New Roman"/>
          <w:lang w:eastAsia="cs-CZ"/>
        </w:rPr>
        <w:t xml:space="preserve">Předmět koupě bude dodán do </w:t>
      </w:r>
      <w:r w:rsidR="00C76946" w:rsidRPr="00C76946">
        <w:rPr>
          <w:rFonts w:eastAsia="Times New Roman" w:cs="Times New Roman"/>
          <w:lang w:eastAsia="cs-CZ"/>
        </w:rPr>
        <w:t>4 měsíců od uveřejnění smlouvy v Registru smluv</w:t>
      </w:r>
      <w:r w:rsidR="00C76946">
        <w:rPr>
          <w:rFonts w:eastAsia="Times New Roman" w:cs="Times New Roman"/>
          <w:lang w:eastAsia="cs-CZ"/>
        </w:rPr>
        <w:t>.</w:t>
      </w:r>
    </w:p>
    <w:p w14:paraId="4D5A70EC" w14:textId="77777777" w:rsidR="00D85C5B" w:rsidRPr="000C5DA0" w:rsidRDefault="00D85C5B" w:rsidP="00C76946">
      <w:pPr>
        <w:pStyle w:val="Nadpis1"/>
        <w:numPr>
          <w:ilvl w:val="0"/>
          <w:numId w:val="23"/>
        </w:numPr>
        <w:spacing w:after="120"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C76946"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C76946">
        <w:rPr>
          <w:rFonts w:eastAsia="Times New Roman" w:cs="Times New Roman"/>
          <w:lang w:eastAsia="cs-CZ"/>
        </w:rPr>
        <w:t>Pojištění se nevyžaduje.</w:t>
      </w:r>
      <w:r w:rsidR="00717E19" w:rsidRPr="00C76946">
        <w:rPr>
          <w:rFonts w:eastAsia="Times New Roman" w:cs="Times New Roman"/>
          <w:lang w:eastAsia="cs-CZ"/>
        </w:rPr>
        <w:t xml:space="preserve"> </w:t>
      </w:r>
    </w:p>
    <w:p w14:paraId="3776C210" w14:textId="77777777" w:rsidR="00D85C5B" w:rsidRPr="00C7694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76946">
        <w:rPr>
          <w:rFonts w:eastAsia="Times New Roman" w:cs="Times New Roman"/>
          <w:lang w:eastAsia="cs-CZ"/>
        </w:rPr>
        <w:t>Speciální balení se nevyžaduje.</w:t>
      </w:r>
    </w:p>
    <w:p w14:paraId="3324C4C2" w14:textId="77777777" w:rsidR="00D85C5B" w:rsidRPr="000C5DA0" w:rsidRDefault="00D85C5B" w:rsidP="00C76946">
      <w:pPr>
        <w:pStyle w:val="Nadpis1"/>
        <w:numPr>
          <w:ilvl w:val="0"/>
          <w:numId w:val="23"/>
        </w:numPr>
        <w:spacing w:after="120" w:line="276" w:lineRule="auto"/>
        <w:jc w:val="both"/>
        <w:rPr>
          <w:rFonts w:eastAsia="Times New Roman"/>
          <w:lang w:eastAsia="cs-CZ"/>
        </w:rPr>
      </w:pPr>
      <w:r w:rsidRPr="000C5DA0">
        <w:rPr>
          <w:rFonts w:eastAsia="Times New Roman"/>
          <w:lang w:eastAsia="cs-CZ"/>
        </w:rPr>
        <w:t>Listiny (doklady)</w:t>
      </w:r>
    </w:p>
    <w:p w14:paraId="3F351793" w14:textId="10C4087B" w:rsidR="00AE4595" w:rsidRPr="00C76946" w:rsidRDefault="00D85C5B" w:rsidP="00C7694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76946">
        <w:rPr>
          <w:rFonts w:eastAsia="Times New Roman" w:cs="Times New Roman"/>
          <w:lang w:eastAsia="cs-CZ"/>
        </w:rPr>
        <w:t xml:space="preserve">Prodávající předá Kupujícímu </w:t>
      </w:r>
      <w:r w:rsidR="00C76946" w:rsidRPr="00C76946">
        <w:rPr>
          <w:rFonts w:eastAsia="Times New Roman" w:cs="Times New Roman"/>
          <w:lang w:eastAsia="cs-CZ"/>
        </w:rPr>
        <w:t>doklady splňující veškeré podmínky pro přihlášení a provoz na pozemních komunikacích ČR - Prohlášení o shodě, tzv. COC listu.</w:t>
      </w:r>
    </w:p>
    <w:p w14:paraId="4B70C07C" w14:textId="77777777" w:rsidR="00D85C5B" w:rsidRDefault="00D85C5B" w:rsidP="00C76946">
      <w:pPr>
        <w:pStyle w:val="Nadpis1"/>
        <w:numPr>
          <w:ilvl w:val="0"/>
          <w:numId w:val="23"/>
        </w:numPr>
        <w:spacing w:after="120" w:line="276" w:lineRule="auto"/>
        <w:jc w:val="both"/>
        <w:rPr>
          <w:rFonts w:eastAsia="Times New Roman"/>
          <w:lang w:eastAsia="cs-CZ"/>
        </w:rPr>
      </w:pPr>
      <w:r w:rsidRPr="000C5DA0">
        <w:rPr>
          <w:rFonts w:eastAsia="Times New Roman"/>
          <w:lang w:eastAsia="cs-CZ"/>
        </w:rPr>
        <w:t>Záruka</w:t>
      </w:r>
    </w:p>
    <w:p w14:paraId="5D812CA2" w14:textId="6584057B" w:rsidR="00AE4595" w:rsidRPr="00C76946"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C76946">
        <w:t>Dodavatel poskytuje záruku za jakost v délce min. 24 měsíců na celý předmět plnění.</w:t>
      </w:r>
    </w:p>
    <w:p w14:paraId="2097C982" w14:textId="77777777" w:rsidR="00A33BB9" w:rsidRDefault="00A33BB9" w:rsidP="00C76946">
      <w:pPr>
        <w:pStyle w:val="Nadpis1"/>
        <w:numPr>
          <w:ilvl w:val="0"/>
          <w:numId w:val="23"/>
        </w:numPr>
        <w:spacing w:after="120"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42F5C1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DF6FCF">
        <w:rPr>
          <w:highlight w:val="yellow"/>
          <w:lang w:eastAsia="cs-CZ"/>
        </w:rPr>
        <w:t>. 4</w:t>
      </w:r>
      <w:r w:rsidRPr="00E30A6F">
        <w:rPr>
          <w:highlight w:val="yellow"/>
          <w:lang w:eastAsia="cs-CZ"/>
        </w:rPr>
        <w:t xml:space="preserve"> </w:t>
      </w:r>
      <w:proofErr w:type="gramStart"/>
      <w:r w:rsidRPr="00E30A6F">
        <w:rPr>
          <w:highlight w:val="yellow"/>
          <w:lang w:eastAsia="cs-CZ"/>
        </w:rPr>
        <w:t>této</w:t>
      </w:r>
      <w:proofErr w:type="gramEnd"/>
      <w:r w:rsidRPr="00E30A6F">
        <w:rPr>
          <w:highlight w:val="yellow"/>
          <w:lang w:eastAsia="cs-CZ"/>
        </w:rPr>
        <w:t xml:space="preserve"> Smlouvy. </w:t>
      </w:r>
    </w:p>
    <w:p w14:paraId="5CD37451" w14:textId="576A3C71"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w:t>
      </w:r>
      <w:r w:rsidR="00DF6FCF">
        <w:rPr>
          <w:highlight w:val="yellow"/>
          <w:lang w:eastAsia="cs-CZ"/>
        </w:rPr>
        <w:t xml:space="preserve"> nebudou podílet poddodavatelé</w:t>
      </w:r>
      <w:r w:rsidR="0040108F">
        <w:rPr>
          <w:highlight w:val="yellow"/>
          <w:lang w:eastAsia="cs-CZ"/>
        </w:rPr>
        <w:t>“</w:t>
      </w:r>
      <w:r w:rsidR="00DF6FCF">
        <w:rPr>
          <w:highlight w:val="yellow"/>
          <w:lang w:eastAsia="cs-CZ"/>
        </w:rPr>
        <w:t>,</w:t>
      </w:r>
      <w:r w:rsidRPr="00E30A6F">
        <w:rPr>
          <w:highlight w:val="yellow"/>
          <w:lang w:eastAsia="cs-CZ"/>
        </w:rPr>
        <w:t xml:space="preserve"> vymaže tuto položku ze seznamu příloh</w:t>
      </w:r>
      <w:r w:rsidR="00DF6FCF">
        <w:rPr>
          <w:highlight w:val="yellow"/>
          <w:lang w:eastAsia="cs-CZ"/>
        </w:rPr>
        <w:t xml:space="preserve"> a upraví číslování příloh</w:t>
      </w:r>
      <w:r w:rsidRPr="00E30A6F">
        <w:rPr>
          <w:highlight w:val="yellow"/>
          <w:lang w:eastAsia="cs-CZ"/>
        </w:rPr>
        <w:t>).</w:t>
      </w:r>
    </w:p>
    <w:p w14:paraId="3BD40581" w14:textId="77777777" w:rsidR="00D85C5B" w:rsidRPr="000C5DA0" w:rsidRDefault="00D85C5B" w:rsidP="00C76946">
      <w:pPr>
        <w:pStyle w:val="Nadpis1"/>
        <w:numPr>
          <w:ilvl w:val="0"/>
          <w:numId w:val="23"/>
        </w:numPr>
        <w:spacing w:after="120"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rPr>
          <w:lang w:eastAsia="cs-CZ"/>
        </w:rPr>
        <w:t xml:space="preserve">Prodávající ujišťuje Kupujícího, že Předmět koupě je prostý všech vad, jak právních, tak </w:t>
      </w:r>
      <w:r w:rsidRPr="00BB3E1D">
        <w:rPr>
          <w:rFonts w:eastAsia="Times New Roman" w:cs="Times New Roman"/>
          <w:lang w:eastAsia="cs-CZ"/>
        </w:rPr>
        <w:t>faktických</w:t>
      </w:r>
      <w:r w:rsidRPr="00E30A6F">
        <w:rPr>
          <w:lang w:eastAsia="cs-CZ"/>
        </w:rPr>
        <w:t>.</w:t>
      </w:r>
    </w:p>
    <w:p w14:paraId="6C11DF1B" w14:textId="4EF1A317" w:rsidR="00D85C5B" w:rsidRPr="00DF6FCF" w:rsidRDefault="00D85C5B" w:rsidP="00DF6FCF">
      <w:pPr>
        <w:pStyle w:val="Odstavecseseznamem"/>
        <w:numPr>
          <w:ilvl w:val="1"/>
          <w:numId w:val="23"/>
        </w:numPr>
        <w:spacing w:after="120" w:line="276" w:lineRule="auto"/>
        <w:ind w:left="708" w:hanging="714"/>
        <w:contextualSpacing w:val="0"/>
        <w:jc w:val="both"/>
        <w:rPr>
          <w:lang w:eastAsia="cs-CZ"/>
        </w:rPr>
      </w:pPr>
      <w:r w:rsidRPr="00DF6FCF">
        <w:rPr>
          <w:lang w:eastAsia="cs-CZ"/>
        </w:rPr>
        <w:t xml:space="preserve">Kontaktními osobami </w:t>
      </w:r>
      <w:r w:rsidR="008B1447" w:rsidRPr="00DF6FCF">
        <w:rPr>
          <w:lang w:eastAsia="cs-CZ"/>
        </w:rPr>
        <w:t>Sml</w:t>
      </w:r>
      <w:r w:rsidRPr="00DF6FCF">
        <w:rPr>
          <w:lang w:eastAsia="cs-CZ"/>
        </w:rPr>
        <w:t>uvních stran jsou</w:t>
      </w:r>
    </w:p>
    <w:p w14:paraId="2B7E32D3" w14:textId="0581E07D" w:rsidR="00DF6FCF" w:rsidRPr="00DF6FCF" w:rsidRDefault="00D85C5B" w:rsidP="00DF6FCF">
      <w:pPr>
        <w:pStyle w:val="Odstavecseseznamem"/>
        <w:numPr>
          <w:ilvl w:val="2"/>
          <w:numId w:val="27"/>
        </w:numPr>
        <w:spacing w:after="120" w:line="276" w:lineRule="auto"/>
        <w:contextualSpacing w:val="0"/>
        <w:jc w:val="both"/>
        <w:rPr>
          <w:rFonts w:eastAsia="Times New Roman" w:cs="Times New Roman"/>
          <w:lang w:eastAsia="cs-CZ"/>
        </w:rPr>
      </w:pPr>
      <w:r w:rsidRPr="00DF6FCF">
        <w:rPr>
          <w:rFonts w:eastAsia="Times New Roman" w:cs="Times New Roman"/>
          <w:lang w:eastAsia="cs-CZ"/>
        </w:rPr>
        <w:t xml:space="preserve">za Kupujícího p. </w:t>
      </w:r>
      <w:r w:rsidR="00DF6FCF" w:rsidRPr="00DF6FCF">
        <w:rPr>
          <w:rFonts w:eastAsia="Times New Roman" w:cs="Times New Roman"/>
          <w:lang w:eastAsia="cs-CZ"/>
        </w:rPr>
        <w:t>Petr Janeš</w:t>
      </w:r>
      <w:r w:rsidRPr="00DF6FCF">
        <w:rPr>
          <w:rFonts w:eastAsia="Times New Roman" w:cs="Times New Roman"/>
          <w:lang w:eastAsia="cs-CZ"/>
        </w:rPr>
        <w:t xml:space="preserve">, tel. </w:t>
      </w:r>
      <w:r w:rsidR="00DF6FCF" w:rsidRPr="00DF6FCF">
        <w:rPr>
          <w:rFonts w:eastAsia="Times New Roman" w:cs="Times New Roman"/>
          <w:lang w:eastAsia="cs-CZ"/>
        </w:rPr>
        <w:t>+420 721 949 304</w:t>
      </w:r>
      <w:r w:rsidRPr="00DF6FCF">
        <w:rPr>
          <w:rFonts w:eastAsia="Times New Roman" w:cs="Times New Roman"/>
          <w:lang w:eastAsia="cs-CZ"/>
        </w:rPr>
        <w:t>, email</w:t>
      </w:r>
      <w:r w:rsidR="00DF6FCF" w:rsidRPr="00DF6FCF">
        <w:rPr>
          <w:rFonts w:eastAsia="Times New Roman" w:cs="Times New Roman"/>
          <w:lang w:eastAsia="cs-CZ"/>
        </w:rPr>
        <w:t>:</w:t>
      </w:r>
      <w:r w:rsidRPr="00DF6FCF">
        <w:rPr>
          <w:rFonts w:eastAsia="Times New Roman" w:cs="Times New Roman"/>
          <w:lang w:eastAsia="cs-CZ"/>
        </w:rPr>
        <w:t xml:space="preserve"> </w:t>
      </w:r>
      <w:hyperlink r:id="rId11" w:history="1">
        <w:r w:rsidR="00DF6FCF" w:rsidRPr="00C76899">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9146AF">
        <w:rPr>
          <w:lang w:eastAsia="cs-CZ"/>
        </w:rPr>
        <w:lastRenderedPageBreak/>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23205B38" w:rsidR="008B2F5B" w:rsidRPr="009146AF"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9146AF">
        <w:rPr>
          <w:lang w:eastAsia="cs-CZ"/>
        </w:rPr>
        <w:t>Zaslání</w:t>
      </w:r>
      <w:r w:rsidRPr="009146AF">
        <w:t xml:space="preserve"> Smlouvy správci registru smluv k uveřejnění v registru sm</w:t>
      </w:r>
      <w:r w:rsidR="00DF6FCF">
        <w:t xml:space="preserve">luv zajišťuje obvykle Kupující. </w:t>
      </w:r>
      <w:r w:rsidRPr="009146AF">
        <w:t>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9146AF">
        <w:rPr>
          <w:lang w:eastAsia="cs-CZ"/>
        </w:rPr>
        <w:t>Smluvní</w:t>
      </w:r>
      <w:r w:rsidRPr="009146AF">
        <w:t xml:space="preserve">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9146AF">
        <w:rPr>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9146AF">
        <w:rPr>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BB3E1D">
      <w:pPr>
        <w:pStyle w:val="Nadpis1"/>
        <w:numPr>
          <w:ilvl w:val="0"/>
          <w:numId w:val="23"/>
        </w:numPr>
        <w:spacing w:after="120" w:line="276" w:lineRule="auto"/>
        <w:ind w:left="357" w:hanging="357"/>
        <w:jc w:val="both"/>
      </w:pPr>
      <w:r w:rsidRPr="0023372A">
        <w:t xml:space="preserve">Střet </w:t>
      </w:r>
      <w:r w:rsidRPr="00C76946">
        <w:rPr>
          <w:rFonts w:eastAsia="Times New Roman"/>
          <w:lang w:eastAsia="cs-CZ"/>
        </w:rPr>
        <w:t>zájmů</w:t>
      </w:r>
      <w:r w:rsidRPr="0023372A">
        <w:t xml:space="preserve">, povinnosti </w:t>
      </w:r>
      <w:r>
        <w:t>dodavatele</w:t>
      </w:r>
      <w:r w:rsidRPr="0023372A">
        <w:t xml:space="preserve"> v souvislosti s </w:t>
      </w:r>
      <w:bookmarkStart w:id="0" w:name="_Hlk147219777"/>
      <w:r w:rsidRPr="0023372A">
        <w:t>MEZINÁRODNÍMI SANKCEMI</w:t>
      </w:r>
      <w:bookmarkEnd w:id="0"/>
    </w:p>
    <w:p w14:paraId="45B3CC86" w14:textId="626ADB07" w:rsidR="008B2F5B"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proofErr w:type="gramStart"/>
      <w:r w:rsidRPr="00483C85">
        <w:t>Prodávající</w:t>
      </w:r>
      <w:proofErr w:type="gramEnd"/>
      <w:r w:rsidRPr="00483C85">
        <w:t xml:space="preserve"> prohlašuje, že není obchodní společností, ve které veřejný funkcionář uvedený v </w:t>
      </w:r>
      <w:proofErr w:type="spellStart"/>
      <w:proofErr w:type="gramStart"/>
      <w:r w:rsidRPr="00483C85">
        <w:t>ust</w:t>
      </w:r>
      <w:proofErr w:type="spellEnd"/>
      <w:r w:rsidRPr="00483C85">
        <w:t>.</w:t>
      </w:r>
      <w:proofErr w:type="gramEnd"/>
      <w:r w:rsidRPr="00483C85">
        <w:t xml:space="preserve"> § 2 odst. 1 </w:t>
      </w:r>
      <w:r w:rsidR="00DF6FCF">
        <w:t>písm. c) zákona č. 159/2006 Sb.</w:t>
      </w:r>
      <w:r w:rsidRPr="00483C85">
        <w:t xml:space="preserve">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 xml:space="preserve">on, ani žádný z jeho poddodavatelů, nejsou osobami, na něž se vztahuje zákaz </w:t>
      </w:r>
      <w:r w:rsidRPr="003B16F0">
        <w:lastRenderedPageBreak/>
        <w:t>zadání veřejné zakázky ve smyslu § 48a zákona č. 134/2016 Sb., o zadávání veřejných zakázek, ve znění pozdějších předpisů,</w:t>
      </w:r>
    </w:p>
    <w:p w14:paraId="458104EE" w14:textId="6BC3A0E7" w:rsidR="008B2F5B" w:rsidRPr="003B16F0" w:rsidRDefault="008B2F5B" w:rsidP="008B2F5B">
      <w:pPr>
        <w:pStyle w:val="aodst"/>
        <w:numPr>
          <w:ilvl w:val="0"/>
          <w:numId w:val="12"/>
        </w:numPr>
        <w:ind w:left="1247" w:hanging="567"/>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w:t>
      </w:r>
      <w:r w:rsidR="00DF6FCF">
        <w:t> </w:t>
      </w:r>
      <w:r w:rsidRPr="003B16F0">
        <w:t>a) až d), článku 8, čl. 10 písm. b) až f) a písm. h) až j) směrnice 2014/24/EU, článku</w:t>
      </w:r>
      <w:r w:rsidR="00DF6FCF">
        <w:t> </w:t>
      </w:r>
      <w:r w:rsidRPr="003B16F0">
        <w:t xml:space="preserve">18, čl. 21 písm. b) až e) a písm. g) až i), článků 29 a 30 směrnice 2014/25/EU a čl. 13 písm. a) až d), f) až h) a j) směrnice 2009/81/ES a hlavy VII nařízení Evropského parlamentu a Rady (EU, Euratom) 2018/1046, </w:t>
      </w:r>
    </w:p>
    <w:p w14:paraId="01A6ED4A" w14:textId="07273D23" w:rsidR="008B2F5B" w:rsidRPr="00483C85" w:rsidRDefault="008B2F5B" w:rsidP="008B2F5B">
      <w:pPr>
        <w:pStyle w:val="aodst"/>
        <w:numPr>
          <w:ilvl w:val="0"/>
          <w:numId w:val="12"/>
        </w:numPr>
        <w:ind w:left="1247" w:hanging="567"/>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w:t>
      </w:r>
      <w:r w:rsidR="0040108F">
        <w:t>y, ve znění pozdějších předpisů</w:t>
      </w:r>
      <w:r w:rsidRPr="003B16F0">
        <w:t xml:space="preserve">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_Ref156812881 \r \h </w:instrText>
      </w:r>
      <w:r>
        <w:fldChar w:fldCharType="separate"/>
      </w:r>
      <w:r>
        <w:t>9.5</w:t>
      </w:r>
      <w:r>
        <w:fldChar w:fldCharType="end"/>
      </w:r>
      <w:r w:rsidRPr="003B16F0">
        <w:t xml:space="preserve"> této</w:t>
      </w:r>
      <w:proofErr w:type="gramEnd"/>
      <w:r w:rsidRPr="003B16F0">
        <w:t xml:space="preserve"> Smlouvy (dále jen „</w:t>
      </w:r>
      <w:r w:rsidRPr="008A6A1D">
        <w:rPr>
          <w:rStyle w:val="Kurzvatun"/>
          <w:rFonts w:eastAsiaTheme="minorHAnsi"/>
          <w:b w:val="0"/>
        </w:rPr>
        <w:t>Sankční seznamy</w:t>
      </w:r>
      <w:r w:rsidRPr="003B16F0">
        <w:t>“).</w:t>
      </w:r>
    </w:p>
    <w:p w14:paraId="7BE9E6A7" w14:textId="77777777" w:rsidR="008B2F5B"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A453A2">
        <w:t>Je-li P</w:t>
      </w:r>
      <w:r w:rsidRPr="00A72529">
        <w:t xml:space="preserve">rodávajícím </w:t>
      </w:r>
      <w:r>
        <w:t xml:space="preserve">sdružení více osob, platí podmínky dle </w:t>
      </w:r>
      <w:r w:rsidRPr="0040108F">
        <w:t>odstavce 9.1 a 9.2 této Smlouvy</w:t>
      </w:r>
      <w:r>
        <w:t xml:space="preserve"> také jednotlivě pro všechny osoby v rámci Prodávajícího sdružené, a to bez ohledu na právní formu tohoto sdružení.</w:t>
      </w:r>
    </w:p>
    <w:p w14:paraId="57428C67" w14:textId="77777777" w:rsidR="008B2F5B" w:rsidRPr="00483C85"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0AE198FD" w:rsidR="008B2F5B" w:rsidRDefault="008B2F5B"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40108F">
        <w:t>výši 5 % procent</w:t>
      </w:r>
      <w:r w:rsidRPr="00483C85">
        <w:t xml:space="preserve"> z kupní ceny (cena bez DPH) sjednané dle této Smlouvy. Ustanovení § 2004 odst. 2 Občanského zákoníku a § 2050 Občanského zákoníku se nepoužijí</w:t>
      </w:r>
      <w:r w:rsidR="00B1367D">
        <w:t>.</w:t>
      </w:r>
    </w:p>
    <w:p w14:paraId="0BB6DD68" w14:textId="77777777" w:rsidR="00935BBA" w:rsidRDefault="00935BBA" w:rsidP="00935BBA">
      <w:pPr>
        <w:widowControl w:val="0"/>
        <w:overflowPunct w:val="0"/>
        <w:autoSpaceDE w:val="0"/>
        <w:autoSpaceDN w:val="0"/>
        <w:adjustRightInd w:val="0"/>
        <w:spacing w:after="120" w:line="276" w:lineRule="auto"/>
        <w:jc w:val="both"/>
        <w:textAlignment w:val="baseline"/>
      </w:pPr>
    </w:p>
    <w:p w14:paraId="765EB87E" w14:textId="77777777" w:rsidR="00B1367D" w:rsidRDefault="00B1367D" w:rsidP="00C76946">
      <w:pPr>
        <w:pStyle w:val="Nadpis1"/>
        <w:numPr>
          <w:ilvl w:val="0"/>
          <w:numId w:val="23"/>
        </w:numPr>
        <w:spacing w:after="120" w:line="276" w:lineRule="auto"/>
        <w:jc w:val="both"/>
        <w:rPr>
          <w:rFonts w:eastAsia="Times New Roman"/>
          <w:lang w:eastAsia="cs-CZ"/>
        </w:rPr>
      </w:pPr>
      <w:proofErr w:type="spellStart"/>
      <w:r>
        <w:rPr>
          <w:rFonts w:eastAsia="Times New Roman"/>
          <w:lang w:eastAsia="cs-CZ"/>
        </w:rPr>
        <w:lastRenderedPageBreak/>
        <w:t>Compliance</w:t>
      </w:r>
      <w:proofErr w:type="spellEnd"/>
    </w:p>
    <w:p w14:paraId="2AD8BBED" w14:textId="50AD161B" w:rsidR="00B1367D" w:rsidRDefault="00B1367D"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B3E1D">
      <w:pPr>
        <w:widowControl w:val="0"/>
        <w:numPr>
          <w:ilvl w:val="1"/>
          <w:numId w:val="23"/>
        </w:numPr>
        <w:overflowPunct w:val="0"/>
        <w:autoSpaceDE w:val="0"/>
        <w:autoSpaceDN w:val="0"/>
        <w:adjustRightInd w:val="0"/>
        <w:spacing w:after="120" w:line="276" w:lineRule="auto"/>
        <w:ind w:left="708" w:hanging="714"/>
        <w:jc w:val="both"/>
        <w:textAlignment w:val="baseline"/>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0E9EA1F" w14:textId="51FBC531" w:rsidR="00B1367D" w:rsidRPr="0040108F" w:rsidRDefault="00B1367D" w:rsidP="00BB3E1D">
      <w:pPr>
        <w:widowControl w:val="0"/>
        <w:numPr>
          <w:ilvl w:val="1"/>
          <w:numId w:val="23"/>
        </w:numPr>
        <w:overflowPunct w:val="0"/>
        <w:autoSpaceDE w:val="0"/>
        <w:autoSpaceDN w:val="0"/>
        <w:adjustRightInd w:val="0"/>
        <w:spacing w:after="120" w:line="276" w:lineRule="auto"/>
        <w:ind w:left="708" w:hanging="714"/>
        <w:jc w:val="both"/>
        <w:textAlignment w:val="baseline"/>
        <w:rPr>
          <w:highlight w:val="yellow"/>
        </w:rPr>
      </w:pPr>
      <w:r w:rsidRPr="002C033D">
        <w:rPr>
          <w:highlight w:val="yellow"/>
        </w:rPr>
        <w:t xml:space="preserve">Prodávající má výše uvedené dokumenty k dispozici na webových stránkách: [doplní </w:t>
      </w:r>
      <w:bookmarkStart w:id="3" w:name="_GoBack"/>
      <w:bookmarkEnd w:id="3"/>
      <w:r w:rsidRPr="0040108F">
        <w:rPr>
          <w:highlight w:val="yellow"/>
        </w:rPr>
        <w:t>Prodávající x nemá-li Prodávající výše uvedené dokumenty, celý bod 10.3 odstraní]</w:t>
      </w:r>
    </w:p>
    <w:p w14:paraId="6B4EC7CA" w14:textId="7AF65F13" w:rsidR="00D85C5B" w:rsidRPr="000C5DA0" w:rsidRDefault="00D85C5B" w:rsidP="00C76946">
      <w:pPr>
        <w:pStyle w:val="Nadpis1"/>
        <w:numPr>
          <w:ilvl w:val="0"/>
          <w:numId w:val="23"/>
        </w:numPr>
        <w:spacing w:after="120" w:line="276" w:lineRule="auto"/>
        <w:jc w:val="both"/>
        <w:rPr>
          <w:rFonts w:eastAsia="Times New Roman"/>
          <w:lang w:eastAsia="cs-CZ"/>
        </w:rPr>
      </w:pPr>
      <w:r w:rsidRPr="000C5DA0">
        <w:rPr>
          <w:rFonts w:eastAsia="Times New Roman"/>
          <w:lang w:eastAsia="cs-CZ"/>
        </w:rPr>
        <w:t>Závěrečná ujednání</w:t>
      </w:r>
    </w:p>
    <w:p w14:paraId="485370BE" w14:textId="419EE3C9" w:rsidR="00D85C5B" w:rsidRPr="00E30A6F" w:rsidRDefault="00B1367D"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t>Prodávající</w:t>
      </w:r>
      <w:r w:rsidRPr="00E30A6F">
        <w:rPr>
          <w:lang w:eastAsia="cs-CZ"/>
        </w:rPr>
        <w:t xml:space="preserve"> prohlašuje, že </w:t>
      </w:r>
    </w:p>
    <w:p w14:paraId="0C39C4DC" w14:textId="387B7697" w:rsidR="00D85C5B" w:rsidRPr="00E30A6F" w:rsidRDefault="00D85C5B" w:rsidP="00E9324B">
      <w:pPr>
        <w:pStyle w:val="Odstavecseseznamem"/>
        <w:spacing w:line="276" w:lineRule="auto"/>
        <w:ind w:left="851"/>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E9324B">
      <w:pPr>
        <w:pStyle w:val="Odstavecseseznamem"/>
        <w:spacing w:line="276" w:lineRule="auto"/>
        <w:ind w:left="851"/>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E9324B">
        <w:rPr>
          <w:b/>
          <w:lang w:eastAsia="cs-CZ"/>
        </w:rPr>
        <w:t>dvou</w:t>
      </w:r>
      <w:r w:rsidR="00791AC7" w:rsidRPr="00E30A6F">
        <w:rPr>
          <w:lang w:eastAsia="cs-CZ"/>
        </w:rPr>
        <w:t xml:space="preserve"> vyhotoveních pro </w:t>
      </w:r>
      <w:proofErr w:type="gramStart"/>
      <w:r w:rsidR="00791AC7" w:rsidRPr="00E30A6F">
        <w:rPr>
          <w:lang w:eastAsia="cs-CZ"/>
        </w:rPr>
        <w:t>Kupujícího</w:t>
      </w:r>
      <w:proofErr w:type="gramEnd"/>
      <w:r w:rsidR="00791AC7" w:rsidRPr="00E30A6F">
        <w:rPr>
          <w:lang w:eastAsia="cs-CZ"/>
        </w:rPr>
        <w:t xml:space="preserve"> a </w:t>
      </w:r>
      <w:proofErr w:type="gramStart"/>
      <w:r w:rsidR="00791AC7" w:rsidRPr="00C337B9">
        <w:rPr>
          <w:highlight w:val="yellow"/>
          <w:lang w:eastAsia="cs-CZ"/>
        </w:rPr>
        <w:t>jedno</w:t>
      </w:r>
      <w:r w:rsidR="00C337B9" w:rsidRPr="00C337B9">
        <w:rPr>
          <w:highlight w:val="yellow"/>
          <w:lang w:eastAsia="cs-CZ"/>
        </w:rPr>
        <w:t>m</w:t>
      </w:r>
      <w:proofErr w:type="gramEnd"/>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8A85FED" w:rsidR="00D85C5B" w:rsidRDefault="008B1447" w:rsidP="00BB3E1D">
      <w:pPr>
        <w:widowControl w:val="0"/>
        <w:numPr>
          <w:ilvl w:val="1"/>
          <w:numId w:val="23"/>
        </w:numPr>
        <w:overflowPunct w:val="0"/>
        <w:autoSpaceDE w:val="0"/>
        <w:autoSpaceDN w:val="0"/>
        <w:adjustRightInd w:val="0"/>
        <w:spacing w:after="120" w:line="276" w:lineRule="auto"/>
        <w:ind w:left="708" w:hanging="714"/>
        <w:jc w:val="both"/>
        <w:textAlignment w:val="baseline"/>
        <w:rPr>
          <w:lang w:eastAsia="cs-CZ"/>
        </w:rPr>
      </w:pPr>
      <w:r w:rsidRPr="00BB3E1D">
        <w:rPr>
          <w:lang w:eastAsia="cs-CZ"/>
        </w:rPr>
        <w:t>Tato S</w:t>
      </w:r>
      <w:r w:rsidR="00D85C5B" w:rsidRPr="00BB3E1D">
        <w:rPr>
          <w:lang w:eastAsia="cs-CZ"/>
        </w:rPr>
        <w:t xml:space="preserve">mlouva nabývá platnosti okamžikem podpisu poslední ze </w:t>
      </w:r>
      <w:r w:rsidR="00FB5045" w:rsidRPr="00BB3E1D">
        <w:rPr>
          <w:lang w:eastAsia="cs-CZ"/>
        </w:rPr>
        <w:t>Sml</w:t>
      </w:r>
      <w:r w:rsidR="00D85C5B" w:rsidRPr="00BB3E1D">
        <w:rPr>
          <w:lang w:eastAsia="cs-CZ"/>
        </w:rPr>
        <w:t>uvních stran. Je-li Smlouva uveřejňována v registru smluv, nabývá účinnosti dnem uveřejnění v registru smluv, jinak je účinná od okamžiku uzavření.</w:t>
      </w:r>
    </w:p>
    <w:p w14:paraId="5E74C669" w14:textId="4E4746F5" w:rsidR="00935BBA" w:rsidRDefault="00935BBA" w:rsidP="00935BBA">
      <w:pPr>
        <w:widowControl w:val="0"/>
        <w:overflowPunct w:val="0"/>
        <w:autoSpaceDE w:val="0"/>
        <w:autoSpaceDN w:val="0"/>
        <w:adjustRightInd w:val="0"/>
        <w:spacing w:after="120" w:line="276" w:lineRule="auto"/>
        <w:jc w:val="both"/>
        <w:textAlignment w:val="baseline"/>
        <w:rPr>
          <w:lang w:eastAsia="cs-CZ"/>
        </w:rPr>
      </w:pPr>
    </w:p>
    <w:p w14:paraId="1F79F9C0" w14:textId="0B3E0206" w:rsidR="00935BBA" w:rsidRDefault="00935BBA" w:rsidP="00935BBA">
      <w:pPr>
        <w:widowControl w:val="0"/>
        <w:overflowPunct w:val="0"/>
        <w:autoSpaceDE w:val="0"/>
        <w:autoSpaceDN w:val="0"/>
        <w:adjustRightInd w:val="0"/>
        <w:spacing w:after="120" w:line="276" w:lineRule="auto"/>
        <w:jc w:val="both"/>
        <w:textAlignment w:val="baseline"/>
        <w:rPr>
          <w:lang w:eastAsia="cs-CZ"/>
        </w:rPr>
      </w:pPr>
    </w:p>
    <w:p w14:paraId="64E05BE5" w14:textId="042DF2C4" w:rsidR="00935BBA" w:rsidRDefault="00935BBA" w:rsidP="00935BBA">
      <w:pPr>
        <w:widowControl w:val="0"/>
        <w:overflowPunct w:val="0"/>
        <w:autoSpaceDE w:val="0"/>
        <w:autoSpaceDN w:val="0"/>
        <w:adjustRightInd w:val="0"/>
        <w:spacing w:after="120" w:line="276" w:lineRule="auto"/>
        <w:jc w:val="both"/>
        <w:textAlignment w:val="baseline"/>
        <w:rPr>
          <w:lang w:eastAsia="cs-CZ"/>
        </w:rPr>
      </w:pPr>
    </w:p>
    <w:p w14:paraId="71C703CB" w14:textId="77777777" w:rsidR="00935BBA" w:rsidRPr="00BB3E1D" w:rsidRDefault="00935BBA" w:rsidP="00935BBA">
      <w:pPr>
        <w:widowControl w:val="0"/>
        <w:overflowPunct w:val="0"/>
        <w:autoSpaceDE w:val="0"/>
        <w:autoSpaceDN w:val="0"/>
        <w:adjustRightInd w:val="0"/>
        <w:spacing w:after="120" w:line="276" w:lineRule="auto"/>
        <w:jc w:val="both"/>
        <w:textAlignment w:val="baseline"/>
        <w:rPr>
          <w:lang w:eastAsia="cs-CZ"/>
        </w:rPr>
      </w:pP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403AECE4" w14:textId="043AE10B" w:rsidR="008F2302"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61D808FC" w14:textId="15F168C8" w:rsidR="005942DB" w:rsidRPr="005942DB" w:rsidRDefault="005942D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5942DB">
        <w:rPr>
          <w:rFonts w:eastAsia="Times New Roman" w:cs="Times New Roman"/>
          <w:lang w:eastAsia="cs-CZ"/>
        </w:rPr>
        <w:t>příloha č. 2:</w:t>
      </w:r>
      <w:r w:rsidRPr="005942DB">
        <w:rPr>
          <w:rFonts w:eastAsia="Times New Roman" w:cs="Times New Roman"/>
          <w:lang w:eastAsia="cs-CZ"/>
        </w:rPr>
        <w:tab/>
        <w:t>Oceněný Nabídkový ceník</w:t>
      </w:r>
    </w:p>
    <w:p w14:paraId="459A4A7A" w14:textId="2B200E21" w:rsidR="00D85C5B" w:rsidRPr="00C337B9"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green"/>
          <w:lang w:eastAsia="cs-CZ"/>
        </w:rPr>
      </w:pPr>
      <w:r w:rsidRPr="005942DB">
        <w:rPr>
          <w:rFonts w:eastAsia="Times New Roman" w:cs="Times New Roman"/>
          <w:lang w:eastAsia="cs-CZ"/>
        </w:rPr>
        <w:t xml:space="preserve">příloha č. </w:t>
      </w:r>
      <w:r w:rsidR="005942DB" w:rsidRPr="005942DB">
        <w:rPr>
          <w:rFonts w:eastAsia="Times New Roman" w:cs="Times New Roman"/>
          <w:lang w:eastAsia="cs-CZ"/>
        </w:rPr>
        <w:t>3</w:t>
      </w:r>
      <w:r w:rsidRPr="005942DB">
        <w:rPr>
          <w:rFonts w:eastAsia="Times New Roman" w:cs="Times New Roman"/>
          <w:lang w:eastAsia="cs-CZ"/>
        </w:rPr>
        <w:t>:</w:t>
      </w:r>
      <w:r w:rsidRPr="005942DB">
        <w:rPr>
          <w:rFonts w:eastAsia="Times New Roman" w:cs="Times New Roman"/>
          <w:lang w:eastAsia="cs-CZ"/>
        </w:rPr>
        <w:tab/>
      </w:r>
      <w:r w:rsidR="002C033D">
        <w:t>Specifikace požadovaných parametrů dodávky</w:t>
      </w:r>
    </w:p>
    <w:p w14:paraId="34F310AB" w14:textId="77777777" w:rsidR="00B1367D" w:rsidRPr="000C5DA0" w:rsidRDefault="00B1367D" w:rsidP="00B1367D">
      <w:pPr>
        <w:pStyle w:val="Plohy"/>
        <w:spacing w:before="0" w:after="0"/>
        <w:rPr>
          <w:rFonts w:eastAsia="Times New Roman" w:cs="Times New Roman"/>
          <w:lang w:eastAsia="cs-CZ"/>
        </w:rPr>
      </w:pPr>
      <w:r w:rsidRPr="008A6A1D">
        <w:rPr>
          <w:rFonts w:eastAsia="Times New Roman" w:cs="Times New Roman"/>
          <w:highlight w:val="yellow"/>
          <w:lang w:eastAsia="cs-CZ"/>
        </w:rPr>
        <w:t>příloha č. 4:</w:t>
      </w:r>
      <w:r w:rsidRPr="008A6A1D">
        <w:rPr>
          <w:rFonts w:eastAsia="Times New Roman" w:cs="Times New Roman"/>
          <w:highlight w:val="yellow"/>
          <w:lang w:eastAsia="cs-CZ"/>
        </w:rPr>
        <w:tab/>
        <w:t>Poddodavatelé</w:t>
      </w:r>
    </w:p>
    <w:p w14:paraId="1416137A" w14:textId="23A8F926"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4657B59A" w14:textId="7BC9CB24" w:rsidR="005442C8"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783269B" w14:textId="2E9EA9EF" w:rsidR="00935BBA" w:rsidRDefault="00935BBA"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17E9F717" w14:textId="77777777" w:rsidR="00935BBA" w:rsidRPr="00C337B9" w:rsidRDefault="00935BBA"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02CDEB51" w:rsidR="005442C8" w:rsidRDefault="00935BBA" w:rsidP="005442C8">
      <w:pPr>
        <w:widowControl w:val="0"/>
        <w:spacing w:after="0" w:line="276" w:lineRule="auto"/>
        <w:jc w:val="both"/>
        <w:rPr>
          <w:rFonts w:asciiTheme="majorHAnsi" w:hAnsiTheme="majorHAnsi"/>
        </w:rPr>
      </w:pPr>
      <w:r>
        <w:rPr>
          <w:rFonts w:asciiTheme="majorHAnsi" w:hAnsiTheme="majorHAnsi"/>
        </w:rPr>
        <w:t>V Praze dne………</w:t>
      </w:r>
      <w:r w:rsidR="005442C8">
        <w:rPr>
          <w:rFonts w:asciiTheme="majorHAnsi" w:hAnsiTheme="majorHAnsi"/>
        </w:rPr>
        <w:tab/>
      </w:r>
      <w:r w:rsidR="005442C8">
        <w:rPr>
          <w:rFonts w:asciiTheme="majorHAnsi" w:hAnsiTheme="majorHAnsi"/>
        </w:rPr>
        <w:tab/>
      </w:r>
      <w:r w:rsidR="005442C8">
        <w:rPr>
          <w:rFonts w:asciiTheme="majorHAnsi" w:hAnsiTheme="majorHAnsi"/>
        </w:rPr>
        <w:tab/>
      </w:r>
      <w:r w:rsidR="005442C8">
        <w:rPr>
          <w:rFonts w:asciiTheme="majorHAnsi" w:hAnsiTheme="majorHAnsi"/>
        </w:rPr>
        <w:tab/>
      </w:r>
      <w:r w:rsidR="005442C8">
        <w:rPr>
          <w:rFonts w:asciiTheme="majorHAnsi" w:hAnsiTheme="majorHAnsi"/>
        </w:rPr>
        <w:tab/>
        <w:t>V …….. dne………</w:t>
      </w:r>
    </w:p>
    <w:p w14:paraId="56ED30B7" w14:textId="4818E9A8" w:rsidR="00CB3AD5" w:rsidRDefault="00CB3AD5" w:rsidP="0068187B">
      <w:pPr>
        <w:widowControl w:val="0"/>
        <w:spacing w:after="0" w:line="276" w:lineRule="auto"/>
        <w:jc w:val="both"/>
        <w:rPr>
          <w:rFonts w:asciiTheme="majorHAnsi" w:hAnsiTheme="majorHAnsi"/>
        </w:rPr>
      </w:pPr>
    </w:p>
    <w:p w14:paraId="7EC8A0A1" w14:textId="1680ED0F" w:rsidR="00935BBA" w:rsidRDefault="00935BBA" w:rsidP="0068187B">
      <w:pPr>
        <w:widowControl w:val="0"/>
        <w:spacing w:after="0" w:line="276" w:lineRule="auto"/>
        <w:jc w:val="both"/>
        <w:rPr>
          <w:rFonts w:asciiTheme="majorHAnsi" w:hAnsiTheme="majorHAnsi"/>
        </w:rPr>
      </w:pPr>
    </w:p>
    <w:p w14:paraId="6B13093A" w14:textId="77777777" w:rsidR="00935BBA" w:rsidRDefault="00935BBA"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335889EE" w:rsidR="00CB3AD5" w:rsidRDefault="00CB3AD5" w:rsidP="0068187B">
      <w:pPr>
        <w:widowControl w:val="0"/>
        <w:spacing w:after="0" w:line="276" w:lineRule="auto"/>
        <w:jc w:val="both"/>
        <w:rPr>
          <w:rFonts w:asciiTheme="majorHAnsi" w:hAnsiTheme="majorHAnsi"/>
        </w:rPr>
      </w:pPr>
    </w:p>
    <w:p w14:paraId="66B03345" w14:textId="4471B82D" w:rsidR="00935BBA" w:rsidRDefault="00935BBA" w:rsidP="0068187B">
      <w:pPr>
        <w:widowControl w:val="0"/>
        <w:spacing w:after="0" w:line="276" w:lineRule="auto"/>
        <w:jc w:val="both"/>
        <w:rPr>
          <w:rFonts w:asciiTheme="majorHAnsi" w:hAnsiTheme="majorHAnsi"/>
        </w:rPr>
      </w:pPr>
    </w:p>
    <w:p w14:paraId="59B35E0E" w14:textId="790265E4" w:rsidR="00935BBA" w:rsidRDefault="00935BBA" w:rsidP="0068187B">
      <w:pPr>
        <w:widowControl w:val="0"/>
        <w:spacing w:after="0" w:line="276" w:lineRule="auto"/>
        <w:jc w:val="both"/>
        <w:rPr>
          <w:rFonts w:asciiTheme="majorHAnsi" w:hAnsiTheme="majorHAnsi"/>
        </w:rPr>
      </w:pPr>
    </w:p>
    <w:p w14:paraId="6C0BE0F9" w14:textId="22ADA740" w:rsidR="00935BBA" w:rsidRDefault="00935BBA" w:rsidP="0068187B">
      <w:pPr>
        <w:widowControl w:val="0"/>
        <w:spacing w:after="0" w:line="276" w:lineRule="auto"/>
        <w:jc w:val="both"/>
        <w:rPr>
          <w:rFonts w:asciiTheme="majorHAnsi" w:hAnsiTheme="majorHAnsi"/>
        </w:rPr>
      </w:pPr>
    </w:p>
    <w:p w14:paraId="7AF60A67" w14:textId="77777777" w:rsidR="00935BBA" w:rsidRPr="00221465" w:rsidRDefault="00935BBA"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7AE1B7CE"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935BBA" w:rsidRPr="00596E45">
        <w:rPr>
          <w:rFonts w:asciiTheme="majorHAnsi" w:hAnsiTheme="majorHAnsi"/>
          <w:noProof/>
          <w:highlight w:val="yellow"/>
        </w:rPr>
        <w:t>[</w:t>
      </w:r>
      <w:r w:rsidR="00935BBA" w:rsidRPr="00596E45">
        <w:rPr>
          <w:rFonts w:asciiTheme="majorHAnsi" w:hAnsiTheme="majorHAnsi"/>
          <w:iCs/>
          <w:noProof/>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ABC73B3" w:rsidR="00020376" w:rsidRDefault="00020376" w:rsidP="0068187B">
      <w:pPr>
        <w:suppressAutoHyphens/>
        <w:spacing w:before="120" w:line="276" w:lineRule="auto"/>
        <w:jc w:val="both"/>
        <w:rPr>
          <w:rFonts w:eastAsia="Calibri" w:cs="Times New Roman"/>
          <w:sz w:val="16"/>
          <w:szCs w:val="16"/>
        </w:rPr>
      </w:pPr>
    </w:p>
    <w:p w14:paraId="2AAF9B0E" w14:textId="4DAED910" w:rsidR="00935BBA" w:rsidRDefault="00935BBA" w:rsidP="0068187B">
      <w:pPr>
        <w:suppressAutoHyphens/>
        <w:spacing w:before="120" w:line="276" w:lineRule="auto"/>
        <w:jc w:val="both"/>
        <w:rPr>
          <w:rFonts w:eastAsia="Calibri" w:cs="Times New Roman"/>
          <w:sz w:val="16"/>
          <w:szCs w:val="16"/>
        </w:rPr>
      </w:pPr>
    </w:p>
    <w:p w14:paraId="47CA2C67" w14:textId="77777777" w:rsidR="00935BBA" w:rsidRDefault="00935BBA"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BB3E1D">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196F0" w16cid:durableId="4F6774FD"/>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6EBD01A"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033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033D">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0C6FFCF5"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033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033D">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p w14:paraId="4FAAFFF5" w14:textId="77777777" w:rsidR="002D1635" w:rsidRDefault="002D163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950BC2"/>
    <w:multiLevelType w:val="multilevel"/>
    <w:tmpl w:val="A1EC5D24"/>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
  </w:num>
  <w:num w:numId="3">
    <w:abstractNumId w:val="9"/>
  </w:num>
  <w:num w:numId="4">
    <w:abstractNumId w:val="23"/>
  </w:num>
  <w:num w:numId="5">
    <w:abstractNumId w:val="13"/>
  </w:num>
  <w:num w:numId="6">
    <w:abstractNumId w:val="10"/>
  </w:num>
  <w:num w:numId="7">
    <w:abstractNumId w:val="17"/>
  </w:num>
  <w:num w:numId="8">
    <w:abstractNumId w:val="22"/>
  </w:num>
  <w:num w:numId="9">
    <w:abstractNumId w:val="25"/>
  </w:num>
  <w:num w:numId="10">
    <w:abstractNumId w:val="19"/>
  </w:num>
  <w:num w:numId="11">
    <w:abstractNumId w:val="13"/>
  </w:num>
  <w:num w:numId="12">
    <w:abstractNumId w:val="5"/>
  </w:num>
  <w:num w:numId="13">
    <w:abstractNumId w:val="13"/>
  </w:num>
  <w:num w:numId="14">
    <w:abstractNumId w:val="13"/>
  </w:num>
  <w:num w:numId="15">
    <w:abstractNumId w:val="13"/>
  </w:num>
  <w:num w:numId="16">
    <w:abstractNumId w:val="13"/>
  </w:num>
  <w:num w:numId="17">
    <w:abstractNumId w:val="4"/>
  </w:num>
  <w:num w:numId="18">
    <w:abstractNumId w:val="0"/>
  </w:num>
  <w:num w:numId="19">
    <w:abstractNumId w:val="12"/>
  </w:num>
  <w:num w:numId="20">
    <w:abstractNumId w:val="7"/>
  </w:num>
  <w:num w:numId="21">
    <w:abstractNumId w:val="18"/>
  </w:num>
  <w:num w:numId="22">
    <w:abstractNumId w:val="14"/>
  </w:num>
  <w:num w:numId="23">
    <w:abstractNumId w:val="24"/>
  </w:num>
  <w:num w:numId="24">
    <w:abstractNumId w:val="20"/>
  </w:num>
  <w:num w:numId="25">
    <w:abstractNumId w:val="3"/>
  </w:num>
  <w:num w:numId="26">
    <w:abstractNumId w:val="21"/>
  </w:num>
  <w:num w:numId="27">
    <w:abstractNumId w:val="16"/>
  </w:num>
  <w:num w:numId="28">
    <w:abstractNumId w:val="15"/>
  </w:num>
  <w:num w:numId="29">
    <w:abstractNumId w:val="8"/>
  </w:num>
  <w:num w:numId="30">
    <w:abstractNumId w:val="7"/>
  </w:num>
  <w:num w:numId="31">
    <w:abstractNumId w:val="11"/>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BFD"/>
    <w:rsid w:val="00013A77"/>
    <w:rsid w:val="00020376"/>
    <w:rsid w:val="00033414"/>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033D"/>
    <w:rsid w:val="002C31BF"/>
    <w:rsid w:val="002C400D"/>
    <w:rsid w:val="002D08B1"/>
    <w:rsid w:val="002D1635"/>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0108F"/>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736B7"/>
    <w:rsid w:val="00573F5F"/>
    <w:rsid w:val="00575E5A"/>
    <w:rsid w:val="005935C5"/>
    <w:rsid w:val="00593AE5"/>
    <w:rsid w:val="005942DB"/>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5BBA"/>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3E1D"/>
    <w:rsid w:val="00BB519C"/>
    <w:rsid w:val="00BC51D3"/>
    <w:rsid w:val="00BD32CD"/>
    <w:rsid w:val="00BD7E91"/>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76946"/>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6FCF"/>
    <w:rsid w:val="00E17FE7"/>
    <w:rsid w:val="00E30A6F"/>
    <w:rsid w:val="00E46AF7"/>
    <w:rsid w:val="00E55BA0"/>
    <w:rsid w:val="00E60DBC"/>
    <w:rsid w:val="00E7068E"/>
    <w:rsid w:val="00E9324B"/>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000BFD"/>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s@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D42EA4-E8A8-4DE2-8A6C-70FD3DC37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2978</TotalTime>
  <Pages>6</Pages>
  <Words>2038</Words>
  <Characters>12029</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35</cp:revision>
  <cp:lastPrinted>2024-02-08T10:57:00Z</cp:lastPrinted>
  <dcterms:created xsi:type="dcterms:W3CDTF">2023-07-10T07:39:00Z</dcterms:created>
  <dcterms:modified xsi:type="dcterms:W3CDTF">2024-04-19T07:43:00Z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